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52" w:rsidRPr="00EA3BE4" w:rsidRDefault="00BD3C4B">
      <w:pPr>
        <w:rPr>
          <w:b/>
          <w:sz w:val="28"/>
          <w:szCs w:val="28"/>
        </w:rPr>
      </w:pPr>
      <w:bookmarkStart w:id="0" w:name="_GoBack"/>
      <w:bookmarkEnd w:id="0"/>
      <w:r w:rsidRPr="00EA3BE4">
        <w:rPr>
          <w:b/>
          <w:sz w:val="28"/>
          <w:szCs w:val="28"/>
        </w:rPr>
        <w:t>Categorias de Causalidade</w:t>
      </w:r>
      <w:r w:rsidR="00EA3BE4" w:rsidRPr="00EA3BE4">
        <w:rPr>
          <w:b/>
          <w:sz w:val="28"/>
          <w:szCs w:val="28"/>
        </w:rPr>
        <w:t xml:space="preserve"> Segundo a Organização Mundial de Saúde</w:t>
      </w:r>
    </w:p>
    <w:p w:rsidR="00BD3C4B" w:rsidRPr="00BD3C4B" w:rsidRDefault="00BD3C4B">
      <w:pPr>
        <w:rPr>
          <w:sz w:val="28"/>
          <w:szCs w:val="28"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D3C4B" w:rsidTr="00BD3C4B">
        <w:tc>
          <w:tcPr>
            <w:tcW w:w="10065" w:type="dxa"/>
          </w:tcPr>
          <w:tbl>
            <w:tblPr>
              <w:tblStyle w:val="TabelaSimples3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6703"/>
            </w:tblGrid>
            <w:tr w:rsidR="00BD3C4B" w:rsidRPr="005F7EFB" w:rsidTr="00EA3B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Categorias</w:t>
                  </w:r>
                </w:p>
                <w:p w:rsidR="00BD3C4B" w:rsidRPr="005F7EFB" w:rsidRDefault="00BD3C4B" w:rsidP="00BD3C4B">
                  <w:pPr>
                    <w:jc w:val="left"/>
                  </w:pPr>
                </w:p>
              </w:tc>
              <w:tc>
                <w:tcPr>
                  <w:tcW w:w="6703" w:type="dxa"/>
                </w:tcPr>
                <w:p w:rsidR="00BD3C4B" w:rsidRPr="005F7EFB" w:rsidRDefault="00BD3C4B" w:rsidP="00BD3C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5F7EFB">
                    <w:t>Critérios na avaliação de causalidade</w:t>
                  </w:r>
                </w:p>
                <w:p w:rsidR="00BD3C4B" w:rsidRPr="005F7EFB" w:rsidRDefault="00BD3C4B" w:rsidP="00BD3C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3C4B" w:rsidRPr="005F7EFB" w:rsidTr="00033E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 xml:space="preserve">Certa/Definida </w:t>
                  </w:r>
                </w:p>
                <w:p w:rsidR="00BD3C4B" w:rsidRPr="005F7EFB" w:rsidRDefault="00BD3C4B" w:rsidP="00BD3C4B">
                  <w:pPr>
                    <w:jc w:val="left"/>
                  </w:pP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ou alteração (anormal) em exame laboratorial com relação temporal plausível em relação à administração da intervenção;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Não pode ser explicado por doença ou outra intervenção, medicamento;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Resposta à interrupção ou retirada plausível (farmacologicamente, patologicamente);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definido farmacologicamente ou fenomenologicamente (ex. uma desordem objetiva e específica ou um fenômeno farmacologicamente reconhecido);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Reexposição satisfatória, se necessária. </w:t>
                  </w:r>
                </w:p>
              </w:tc>
            </w:tr>
            <w:tr w:rsidR="00BD3C4B" w:rsidRPr="005F7EFB" w:rsidTr="00033ED2">
              <w:trPr>
                <w:trHeight w:val="21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Provável</w:t>
                  </w:r>
                </w:p>
                <w:p w:rsidR="00BD3C4B" w:rsidRPr="005F7EFB" w:rsidRDefault="00BD3C4B" w:rsidP="00BD3C4B">
                  <w:pPr>
                    <w:jc w:val="left"/>
                  </w:pP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ou alteração (anormal) em exame laboratorial com relação temporal razoável em relação à administração da intervenção; 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>• Improvável que seja atribuído a uma doença ou outra intervenção, medicamento;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 •  Resposta à interrupção ou retirada clinicamente razoável plausível (farmacologicamente, patologicamente); 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>• Reexposição não exigida.</w:t>
                  </w:r>
                </w:p>
              </w:tc>
            </w:tr>
            <w:tr w:rsidR="00BD3C4B" w:rsidRPr="005F7EFB" w:rsidTr="00033E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Possível</w:t>
                  </w: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ou alteração (anormal) em exame laboratorial com relação temporal razoável em relação à administração da intervenção;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Pode também ser explicado por doença ou outras intervenções, medicamentos;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Informação sobre a retirada ou interrupção do tratamento pode estar faltando ou obscura. </w:t>
                  </w:r>
                </w:p>
              </w:tc>
            </w:tr>
            <w:tr w:rsidR="00BD3C4B" w:rsidRPr="005F7EFB" w:rsidTr="00033ED2">
              <w:trPr>
                <w:trHeight w:val="1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Improvável</w:t>
                  </w: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ou alteração (anormal) em exame laboratorial que em relação ao momento de administração da intervenção faz uma relação improvável (mas não impossível); 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Doença ou outros tratamentos subsidiam explicações plausíveis. </w:t>
                  </w:r>
                </w:p>
              </w:tc>
            </w:tr>
            <w:tr w:rsidR="00BD3C4B" w:rsidRPr="005F7EFB" w:rsidTr="00033E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Condicional/Não classificada</w:t>
                  </w: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Evento ou alteração (anormal) em exame laboratorial;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Mais dados são necessários para uma avaliação apropriada, ou; </w:t>
                  </w:r>
                </w:p>
                <w:p w:rsidR="00BD3C4B" w:rsidRPr="00EA3BE4" w:rsidRDefault="00BD3C4B" w:rsidP="00BD3C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Dados adicionais sob investigação. </w:t>
                  </w:r>
                </w:p>
              </w:tc>
            </w:tr>
            <w:tr w:rsidR="00BD3C4B" w:rsidRPr="005F7EFB" w:rsidTr="00033ED2">
              <w:trPr>
                <w:trHeight w:val="1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4" w:type="dxa"/>
                </w:tcPr>
                <w:p w:rsidR="00BD3C4B" w:rsidRPr="005F7EFB" w:rsidRDefault="00BD3C4B" w:rsidP="00BD3C4B">
                  <w:pPr>
                    <w:jc w:val="left"/>
                  </w:pPr>
                  <w:r w:rsidRPr="005F7EFB">
                    <w:t>Inacessível/inclassificável</w:t>
                  </w:r>
                </w:p>
              </w:tc>
              <w:tc>
                <w:tcPr>
                  <w:tcW w:w="6703" w:type="dxa"/>
                </w:tcPr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A narrativa do relato sugere uma reação adversa; 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Não pode ser classificada porque a informação é insuficiente ou contraditória; </w:t>
                  </w:r>
                </w:p>
                <w:p w:rsidR="00BD3C4B" w:rsidRPr="00EA3BE4" w:rsidRDefault="00BD3C4B" w:rsidP="00BD3C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EA3BE4">
                    <w:rPr>
                      <w:sz w:val="22"/>
                      <w:szCs w:val="22"/>
                    </w:rPr>
                    <w:t xml:space="preserve">• Os dados não podem ser suplementados ou verificados. </w:t>
                  </w:r>
                </w:p>
              </w:tc>
            </w:tr>
          </w:tbl>
          <w:p w:rsidR="00BD3C4B" w:rsidRDefault="00BD3C4B"/>
        </w:tc>
      </w:tr>
    </w:tbl>
    <w:p w:rsidR="00EA3BE4" w:rsidRDefault="00EA3BE4" w:rsidP="00EA3BE4">
      <w:pPr>
        <w:rPr>
          <w:sz w:val="22"/>
          <w:szCs w:val="22"/>
        </w:rPr>
      </w:pPr>
    </w:p>
    <w:p w:rsidR="00EA3BE4" w:rsidRPr="00EA3BE4" w:rsidRDefault="00EA3BE4" w:rsidP="00EA3BE4">
      <w:pPr>
        <w:jc w:val="center"/>
      </w:pPr>
      <w:r w:rsidRPr="00EA3BE4">
        <w:t>Fonte: Manual para notificação de eventos adversos e monitoramento de segurança em ensaios clínicos da Anvisa</w:t>
      </w:r>
    </w:p>
    <w:p w:rsidR="00BD3C4B" w:rsidRDefault="00BD3C4B" w:rsidP="00EA3BE4"/>
    <w:sectPr w:rsidR="00BD3C4B" w:rsidSect="00BD3C4B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4B"/>
    <w:rsid w:val="00033ED2"/>
    <w:rsid w:val="0011363A"/>
    <w:rsid w:val="008113CF"/>
    <w:rsid w:val="00BD3C4B"/>
    <w:rsid w:val="00D37D52"/>
    <w:rsid w:val="00EA3BE4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0889-7D5D-714E-83D2-7E0E795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E4"/>
  </w:style>
  <w:style w:type="paragraph" w:styleId="Ttulo1">
    <w:name w:val="heading 1"/>
    <w:basedOn w:val="Normal"/>
    <w:next w:val="Normal"/>
    <w:link w:val="Ttulo1Char"/>
    <w:uiPriority w:val="9"/>
    <w:qFormat/>
    <w:rsid w:val="00EA3B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3BE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3B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3B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BE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3BE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3BE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3BE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3BE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BD3C4B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BD3C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3">
    <w:name w:val="Plain Table 3"/>
    <w:basedOn w:val="Tabelanormal"/>
    <w:uiPriority w:val="43"/>
    <w:rsid w:val="00EA3BE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EA3BE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3BE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3BE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3BE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3BE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3BE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3BE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3BE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3BE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3BE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A3BE4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A3BE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3BE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EA3BE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EA3BE4"/>
    <w:rPr>
      <w:b/>
      <w:color w:val="ED7D31" w:themeColor="accent2"/>
    </w:rPr>
  </w:style>
  <w:style w:type="character" w:styleId="nfase">
    <w:name w:val="Emphasis"/>
    <w:uiPriority w:val="20"/>
    <w:qFormat/>
    <w:rsid w:val="00EA3BE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EA3BE4"/>
    <w:pPr>
      <w:spacing w:after="0"/>
    </w:pPr>
  </w:style>
  <w:style w:type="paragraph" w:styleId="PargrafodaLista">
    <w:name w:val="List Paragraph"/>
    <w:basedOn w:val="Normal"/>
    <w:uiPriority w:val="34"/>
    <w:qFormat/>
    <w:rsid w:val="00EA3BE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A3BE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A3BE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3BE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3BE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EA3BE4"/>
    <w:rPr>
      <w:i/>
    </w:rPr>
  </w:style>
  <w:style w:type="character" w:styleId="nfaseIntensa">
    <w:name w:val="Intense Emphasis"/>
    <w:uiPriority w:val="21"/>
    <w:qFormat/>
    <w:rsid w:val="00EA3BE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EA3BE4"/>
    <w:rPr>
      <w:b/>
    </w:rPr>
  </w:style>
  <w:style w:type="character" w:styleId="RefernciaIntensa">
    <w:name w:val="Intense Reference"/>
    <w:uiPriority w:val="32"/>
    <w:qFormat/>
    <w:rsid w:val="00EA3BE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A3B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3BE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620FF-5AAA-48B3-B9FF-8D910D15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Carreira Ribeiro</dc:creator>
  <cp:keywords/>
  <dc:description/>
  <cp:lastModifiedBy>Lilian Gauto Quintana Jankoski</cp:lastModifiedBy>
  <cp:revision>2</cp:revision>
  <dcterms:created xsi:type="dcterms:W3CDTF">2019-10-25T17:41:00Z</dcterms:created>
  <dcterms:modified xsi:type="dcterms:W3CDTF">2019-10-25T17:41:00Z</dcterms:modified>
</cp:coreProperties>
</file>